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55" w:lineRule="atLeast"/>
        <w:ind w:firstLine="420" w:firstLineChars="200"/>
        <w:jc w:val="both"/>
        <w:rPr>
          <w:rFonts w:hint="eastAsia"/>
          <w:b w:val="0"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附件1：            </w:t>
      </w:r>
    </w:p>
    <w:p>
      <w:pPr>
        <w:widowControl/>
        <w:wordWrap w:val="0"/>
        <w:spacing w:line="555" w:lineRule="atLeast"/>
        <w:ind w:firstLine="422" w:firstLineChars="200"/>
        <w:jc w:val="center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基础报价表</w:t>
      </w:r>
    </w:p>
    <w:p>
      <w:pPr>
        <w:widowControl/>
        <w:wordWrap w:val="0"/>
        <w:spacing w:line="555" w:lineRule="atLeast"/>
        <w:ind w:firstLine="422" w:firstLineChars="200"/>
        <w:jc w:val="center"/>
        <w:rPr>
          <w:rFonts w:hint="default"/>
          <w:b/>
          <w:bCs w:val="0"/>
          <w:sz w:val="21"/>
          <w:szCs w:val="21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报价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工时单价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附加管理费收费比率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%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wordWrap w:val="0"/>
        <w:spacing w:line="555" w:lineRule="atLeast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说明：</w:t>
      </w:r>
    </w:p>
    <w:p>
      <w:pPr>
        <w:widowControl/>
        <w:numPr>
          <w:ilvl w:val="0"/>
          <w:numId w:val="1"/>
        </w:numPr>
        <w:wordWrap w:val="0"/>
        <w:spacing w:line="555" w:lineRule="atLeast"/>
        <w:ind w:firstLine="420" w:firstLineChars="200"/>
        <w:jc w:val="left"/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报价统一按以上标准供应商投标时报出基础报价，结算时按下列公式算出维修总金额再乘以基础报价；</w:t>
      </w:r>
    </w:p>
    <w:p>
      <w:pPr>
        <w:widowControl/>
        <w:numPr>
          <w:ilvl w:val="0"/>
          <w:numId w:val="1"/>
        </w:numPr>
        <w:wordWrap w:val="0"/>
        <w:spacing w:line="555" w:lineRule="atLeast"/>
        <w:ind w:firstLine="420" w:firstLineChars="200"/>
        <w:jc w:val="left"/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维修费总金额=工时单价</w:t>
      </w:r>
      <w:r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  <w:t>×</w:t>
      </w:r>
      <w:r>
        <w:rPr>
          <w:rFonts w:hint="eastAsia"/>
          <w:b w:val="0"/>
          <w:bCs/>
          <w:sz w:val="21"/>
          <w:szCs w:val="21"/>
          <w:lang w:val="en-US" w:eastAsia="zh-CN"/>
        </w:rPr>
        <w:t>工时+总零配件进货价格+总附加管理费（总零配件进货价格</w:t>
      </w:r>
      <w:r>
        <w:rPr>
          <w:rFonts w:hint="default" w:ascii="Arial" w:hAnsi="Arial" w:cs="Arial"/>
          <w:b w:val="0"/>
          <w:bCs/>
          <w:sz w:val="21"/>
          <w:szCs w:val="21"/>
          <w:lang w:val="en-US" w:eastAsia="zh-CN"/>
        </w:rPr>
        <w:t>×</w:t>
      </w:r>
      <w:r>
        <w:rPr>
          <w:rFonts w:hint="eastAsia"/>
          <w:b w:val="0"/>
          <w:bCs/>
          <w:sz w:val="21"/>
          <w:szCs w:val="21"/>
          <w:lang w:val="en-US" w:eastAsia="zh-CN"/>
        </w:rPr>
        <w:t>附加管理费收费比率）</w:t>
      </w:r>
      <w:r>
        <w:rPr>
          <w:rFonts w:hint="eastAsia" w:ascii="Arial" w:hAnsi="Arial" w:cs="Arial"/>
          <w:b w:val="0"/>
          <w:bCs/>
          <w:sz w:val="21"/>
          <w:szCs w:val="21"/>
          <w:lang w:val="en-US" w:eastAsia="zh-CN"/>
        </w:rPr>
        <w:t>。</w:t>
      </w:r>
    </w:p>
    <w:p>
      <w:pPr>
        <w:widowControl/>
        <w:wordWrap w:val="0"/>
        <w:spacing w:line="555" w:lineRule="atLeast"/>
        <w:ind w:firstLine="420" w:firstLineChars="200"/>
        <w:jc w:val="left"/>
        <w:rPr>
          <w:rFonts w:hint="default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C527"/>
    <w:multiLevelType w:val="singleLevel"/>
    <w:tmpl w:val="5CD5C5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30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2022-03-02T00:40:24Z</dcterms:created>
  <dc:creator>Administrator</dc:creator>
  <cp:lastModifiedBy>李君怡</cp:lastModifiedBy>
  <dcterms:modified xsi:type="dcterms:W3CDTF">2022-03-02T00:40:53Z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