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bookmarkStart w:id="0" w:name="_GoBack"/>
      <w:bookmarkEnd w:id="0"/>
      <w:r>
        <w:rPr>
          <w:rFonts w:hint="eastAsia"/>
          <w:sz w:val="28"/>
          <w:szCs w:val="28"/>
        </w:rPr>
        <w:t>附件：</w:t>
      </w:r>
    </w:p>
    <w:p>
      <w:pPr>
        <w:jc w:val="center"/>
        <w:rPr>
          <w:b/>
          <w:sz w:val="44"/>
          <w:szCs w:val="44"/>
        </w:rPr>
      </w:pPr>
      <w:r>
        <w:rPr>
          <w:rFonts w:hint="eastAsia"/>
          <w:b/>
          <w:sz w:val="44"/>
          <w:szCs w:val="44"/>
        </w:rPr>
        <w:t>商务、技术评分表</w:t>
      </w:r>
    </w:p>
    <w:p>
      <w:pPr>
        <w:jc w:val="center"/>
        <w:rPr>
          <w:szCs w:val="21"/>
        </w:rPr>
      </w:pPr>
      <w:r>
        <w:rPr>
          <w:rFonts w:hint="eastAsia"/>
          <w:szCs w:val="21"/>
        </w:rPr>
        <w:t>2022年  月  日</w:t>
      </w:r>
    </w:p>
    <w:p>
      <w:pPr>
        <w:rPr>
          <w:sz w:val="28"/>
          <w:szCs w:val="28"/>
        </w:rPr>
      </w:pPr>
      <w:r>
        <w:rPr>
          <w:rFonts w:hint="eastAsia" w:asciiTheme="minorEastAsia" w:hAnsiTheme="minorEastAsia"/>
          <w:b/>
          <w:sz w:val="28"/>
          <w:szCs w:val="28"/>
        </w:rPr>
        <w:t>项目名称：</w:t>
      </w:r>
      <w:r>
        <w:rPr>
          <w:rFonts w:hint="eastAsia"/>
          <w:sz w:val="24"/>
          <w:szCs w:val="24"/>
        </w:rPr>
        <w:t>2022年度江门市疾病预防控制中心空调零星维修和保养服务采购项目</w:t>
      </w:r>
      <w:r>
        <w:rPr>
          <w:rFonts w:hint="eastAsia"/>
          <w:sz w:val="28"/>
          <w:szCs w:val="28"/>
        </w:rPr>
        <w:t xml:space="preserve">        </w:t>
      </w:r>
      <w:r>
        <w:rPr>
          <w:rFonts w:hint="eastAsia" w:asciiTheme="minorEastAsia" w:hAnsiTheme="minorEastAsia"/>
          <w:b/>
          <w:sz w:val="28"/>
          <w:szCs w:val="28"/>
        </w:rPr>
        <w:t>采购编号：</w:t>
      </w:r>
      <w:r>
        <w:rPr>
          <w:rFonts w:asciiTheme="minorEastAsia" w:hAnsiTheme="minorEastAsia"/>
          <w:color w:val="000000"/>
          <w:sz w:val="28"/>
          <w:szCs w:val="28"/>
        </w:rPr>
        <w:t xml:space="preserve"> </w:t>
      </w:r>
      <w:r>
        <w:rPr>
          <w:rFonts w:hint="eastAsia" w:asciiTheme="minorEastAsia" w:hAnsiTheme="minorEastAsia"/>
          <w:color w:val="000000"/>
          <w:sz w:val="24"/>
          <w:szCs w:val="24"/>
        </w:rPr>
        <w:t>JMCDC采[2022]001号</w:t>
      </w:r>
    </w:p>
    <w:tbl>
      <w:tblPr>
        <w:tblStyle w:val="2"/>
        <w:tblW w:w="14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5"/>
        <w:gridCol w:w="1559"/>
        <w:gridCol w:w="2126"/>
        <w:gridCol w:w="1985"/>
        <w:gridCol w:w="2126"/>
        <w:gridCol w:w="2126"/>
        <w:gridCol w:w="141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5" w:type="dxa"/>
            <w:vMerge w:val="restart"/>
            <w:vAlign w:val="center"/>
          </w:tcPr>
          <w:p>
            <w:pPr>
              <w:jc w:val="center"/>
              <w:rPr>
                <w:rFonts w:ascii="宋体" w:hAnsi="宋体"/>
                <w:b/>
                <w:szCs w:val="21"/>
              </w:rPr>
            </w:pPr>
            <w:r>
              <w:rPr>
                <w:rFonts w:hint="eastAsia" w:ascii="宋体" w:hAnsi="宋体"/>
                <w:b/>
                <w:szCs w:val="21"/>
              </w:rPr>
              <w:t>序号</w:t>
            </w:r>
          </w:p>
        </w:tc>
        <w:tc>
          <w:tcPr>
            <w:tcW w:w="1985" w:type="dxa"/>
            <w:vMerge w:val="restart"/>
            <w:vAlign w:val="center"/>
          </w:tcPr>
          <w:p>
            <w:pPr>
              <w:jc w:val="center"/>
              <w:rPr>
                <w:rFonts w:ascii="宋体" w:hAnsi="宋体"/>
                <w:b/>
                <w:szCs w:val="21"/>
              </w:rPr>
            </w:pPr>
            <w:r>
              <w:rPr>
                <w:rFonts w:hint="eastAsia" w:ascii="宋体" w:hAnsi="宋体"/>
                <w:b/>
                <w:szCs w:val="21"/>
              </w:rPr>
              <w:t>投标单位</w:t>
            </w:r>
          </w:p>
        </w:tc>
        <w:tc>
          <w:tcPr>
            <w:tcW w:w="9922" w:type="dxa"/>
            <w:gridSpan w:val="5"/>
            <w:vAlign w:val="center"/>
          </w:tcPr>
          <w:p>
            <w:pPr>
              <w:jc w:val="center"/>
              <w:rPr>
                <w:rFonts w:ascii="宋体" w:hAnsi="宋体"/>
                <w:b/>
              </w:rPr>
            </w:pPr>
            <w:r>
              <w:rPr>
                <w:rFonts w:hint="eastAsia" w:ascii="宋体" w:hAnsi="宋体"/>
                <w:b/>
                <w:szCs w:val="21"/>
              </w:rPr>
              <w:t>商务技术分（70分）</w:t>
            </w:r>
          </w:p>
        </w:tc>
        <w:tc>
          <w:tcPr>
            <w:tcW w:w="1418" w:type="dxa"/>
            <w:vAlign w:val="center"/>
          </w:tcPr>
          <w:p>
            <w:pPr>
              <w:jc w:val="center"/>
              <w:rPr>
                <w:rFonts w:ascii="宋体" w:hAnsi="宋体"/>
                <w:b/>
              </w:rPr>
            </w:pPr>
            <w:r>
              <w:rPr>
                <w:rFonts w:hint="eastAsia" w:ascii="宋体" w:hAnsi="宋体"/>
                <w:b/>
              </w:rPr>
              <w:t>价格</w:t>
            </w:r>
          </w:p>
          <w:p>
            <w:pPr>
              <w:jc w:val="center"/>
              <w:rPr>
                <w:rFonts w:ascii="宋体" w:hAnsi="宋体"/>
                <w:b/>
              </w:rPr>
            </w:pPr>
            <w:r>
              <w:rPr>
                <w:rFonts w:hint="eastAsia" w:ascii="宋体" w:hAnsi="宋体"/>
                <w:b/>
              </w:rPr>
              <w:t>（30分）</w:t>
            </w:r>
          </w:p>
        </w:tc>
        <w:tc>
          <w:tcPr>
            <w:tcW w:w="992" w:type="dxa"/>
            <w:vMerge w:val="restart"/>
            <w:vAlign w:val="center"/>
          </w:tcPr>
          <w:p>
            <w:pPr>
              <w:jc w:val="center"/>
              <w:rPr>
                <w:rFonts w:ascii="宋体" w:hAnsi="宋体"/>
                <w:b/>
              </w:rPr>
            </w:pPr>
            <w:r>
              <w:rPr>
                <w:rFonts w:hint="eastAsia" w:ascii="宋体" w:hAnsi="宋体"/>
                <w:b/>
              </w:rPr>
              <w:t>综合</w:t>
            </w:r>
          </w:p>
          <w:p>
            <w:pPr>
              <w:jc w:val="center"/>
              <w:rPr>
                <w:rFonts w:ascii="宋体" w:hAnsi="宋体"/>
                <w:b/>
              </w:rPr>
            </w:pPr>
            <w:r>
              <w:rPr>
                <w:rFonts w:hint="eastAsia" w:ascii="宋体" w:hAnsi="宋体"/>
                <w:b/>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pPr>
              <w:rPr>
                <w:rFonts w:ascii="宋体" w:hAnsi="宋体"/>
                <w:szCs w:val="21"/>
              </w:rPr>
            </w:pPr>
          </w:p>
        </w:tc>
        <w:tc>
          <w:tcPr>
            <w:tcW w:w="1985" w:type="dxa"/>
            <w:vMerge w:val="continue"/>
          </w:tcPr>
          <w:p>
            <w:pPr>
              <w:rPr>
                <w:rFonts w:ascii="宋体" w:hAnsi="宋体"/>
                <w:szCs w:val="21"/>
              </w:rPr>
            </w:pPr>
          </w:p>
        </w:tc>
        <w:tc>
          <w:tcPr>
            <w:tcW w:w="1559" w:type="dxa"/>
            <w:vAlign w:val="center"/>
          </w:tcPr>
          <w:p>
            <w:pPr>
              <w:jc w:val="center"/>
              <w:rPr>
                <w:rFonts w:ascii="宋体" w:hAnsi="宋体"/>
                <w:szCs w:val="21"/>
              </w:rPr>
            </w:pPr>
            <w:r>
              <w:rPr>
                <w:rFonts w:hint="eastAsia" w:ascii="宋体" w:hAnsi="宋体"/>
                <w:szCs w:val="21"/>
              </w:rPr>
              <w:t>公司资信</w:t>
            </w:r>
          </w:p>
          <w:p>
            <w:pPr>
              <w:jc w:val="center"/>
              <w:rPr>
                <w:rFonts w:ascii="宋体" w:hAnsi="宋体"/>
                <w:szCs w:val="21"/>
              </w:rPr>
            </w:pPr>
            <w:r>
              <w:rPr>
                <w:rFonts w:hint="eastAsia" w:ascii="宋体" w:hAnsi="宋体"/>
                <w:szCs w:val="21"/>
              </w:rPr>
              <w:t>（</w:t>
            </w:r>
            <w:r>
              <w:rPr>
                <w:rFonts w:ascii="宋体" w:hAnsi="宋体"/>
                <w:szCs w:val="21"/>
              </w:rPr>
              <w:t>0~1</w:t>
            </w:r>
            <w:r>
              <w:rPr>
                <w:rFonts w:hint="eastAsia" w:ascii="宋体" w:hAnsi="宋体"/>
                <w:szCs w:val="21"/>
              </w:rPr>
              <w:t>5分）</w:t>
            </w:r>
          </w:p>
        </w:tc>
        <w:tc>
          <w:tcPr>
            <w:tcW w:w="2126" w:type="dxa"/>
            <w:vAlign w:val="center"/>
          </w:tcPr>
          <w:p>
            <w:pPr>
              <w:jc w:val="center"/>
              <w:rPr>
                <w:rFonts w:ascii="宋体" w:hAnsi="宋体"/>
                <w:szCs w:val="21"/>
              </w:rPr>
            </w:pPr>
            <w:r>
              <w:rPr>
                <w:rFonts w:hint="eastAsia" w:ascii="宋体" w:hAnsi="宋体"/>
                <w:szCs w:val="21"/>
              </w:rPr>
              <w:t>同类项目业绩</w:t>
            </w:r>
          </w:p>
          <w:p>
            <w:pPr>
              <w:jc w:val="center"/>
              <w:rPr>
                <w:rFonts w:ascii="宋体" w:hAnsi="宋体"/>
                <w:szCs w:val="21"/>
              </w:rPr>
            </w:pPr>
            <w:r>
              <w:rPr>
                <w:rFonts w:hint="eastAsia" w:ascii="宋体" w:hAnsi="宋体"/>
                <w:szCs w:val="21"/>
              </w:rPr>
              <w:t>（0~10分）</w:t>
            </w:r>
          </w:p>
        </w:tc>
        <w:tc>
          <w:tcPr>
            <w:tcW w:w="1985" w:type="dxa"/>
            <w:vAlign w:val="center"/>
          </w:tcPr>
          <w:p>
            <w:pPr>
              <w:jc w:val="center"/>
              <w:rPr>
                <w:rFonts w:asciiTheme="minorEastAsia" w:hAnsiTheme="minorEastAsia"/>
                <w:kern w:val="0"/>
                <w:szCs w:val="21"/>
              </w:rPr>
            </w:pPr>
            <w:r>
              <w:rPr>
                <w:rFonts w:hint="eastAsia" w:asciiTheme="minorEastAsia" w:hAnsiTheme="minorEastAsia"/>
                <w:kern w:val="0"/>
                <w:szCs w:val="21"/>
              </w:rPr>
              <w:t>人员配备</w:t>
            </w:r>
          </w:p>
          <w:p>
            <w:pPr>
              <w:jc w:val="center"/>
              <w:rPr>
                <w:rFonts w:ascii="宋体" w:hAnsi="宋体"/>
                <w:szCs w:val="21"/>
              </w:rPr>
            </w:pPr>
            <w:r>
              <w:rPr>
                <w:rFonts w:hint="eastAsia" w:ascii="宋体" w:hAnsi="宋体"/>
                <w:szCs w:val="21"/>
              </w:rPr>
              <w:t>（0~10分）</w:t>
            </w:r>
          </w:p>
        </w:tc>
        <w:tc>
          <w:tcPr>
            <w:tcW w:w="2126" w:type="dxa"/>
            <w:vAlign w:val="center"/>
          </w:tcPr>
          <w:p>
            <w:pPr>
              <w:jc w:val="center"/>
              <w:rPr>
                <w:rFonts w:ascii="宋体" w:hAnsi="宋体"/>
                <w:szCs w:val="21"/>
              </w:rPr>
            </w:pPr>
            <w:r>
              <w:rPr>
                <w:rFonts w:hint="eastAsia" w:ascii="宋体" w:hAnsi="宋体"/>
                <w:szCs w:val="21"/>
              </w:rPr>
              <w:t>项目实施组织方案</w:t>
            </w:r>
          </w:p>
          <w:p>
            <w:pPr>
              <w:jc w:val="center"/>
              <w:rPr>
                <w:rFonts w:ascii="宋体" w:hAnsi="宋体"/>
                <w:szCs w:val="21"/>
              </w:rPr>
            </w:pPr>
            <w:r>
              <w:rPr>
                <w:rFonts w:hint="eastAsia" w:ascii="宋体" w:hAnsi="宋体"/>
                <w:szCs w:val="21"/>
              </w:rPr>
              <w:t>（</w:t>
            </w:r>
            <w:r>
              <w:rPr>
                <w:rFonts w:ascii="宋体" w:hAnsi="宋体"/>
                <w:szCs w:val="21"/>
              </w:rPr>
              <w:t>0~</w:t>
            </w:r>
            <w:r>
              <w:rPr>
                <w:rFonts w:hint="eastAsia" w:ascii="宋体" w:hAnsi="宋体"/>
                <w:szCs w:val="21"/>
              </w:rPr>
              <w:t>20分）</w:t>
            </w:r>
          </w:p>
        </w:tc>
        <w:tc>
          <w:tcPr>
            <w:tcW w:w="2126" w:type="dxa"/>
            <w:vAlign w:val="center"/>
          </w:tcPr>
          <w:p>
            <w:pPr>
              <w:jc w:val="center"/>
              <w:rPr>
                <w:rFonts w:ascii="宋体" w:hAnsi="宋体"/>
                <w:szCs w:val="21"/>
              </w:rPr>
            </w:pPr>
            <w:r>
              <w:rPr>
                <w:rFonts w:hint="eastAsia" w:ascii="宋体" w:hAnsi="宋体"/>
                <w:szCs w:val="21"/>
              </w:rPr>
              <w:t>服务承诺</w:t>
            </w:r>
          </w:p>
          <w:p>
            <w:pPr>
              <w:jc w:val="center"/>
              <w:rPr>
                <w:rFonts w:ascii="宋体" w:hAnsi="宋体"/>
                <w:szCs w:val="21"/>
              </w:rPr>
            </w:pPr>
            <w:r>
              <w:rPr>
                <w:rFonts w:hint="eastAsia" w:ascii="宋体" w:hAnsi="宋体"/>
                <w:szCs w:val="21"/>
              </w:rPr>
              <w:t>（</w:t>
            </w:r>
            <w:r>
              <w:rPr>
                <w:rFonts w:ascii="宋体" w:hAnsi="宋体"/>
                <w:szCs w:val="21"/>
              </w:rPr>
              <w:t>0~</w:t>
            </w:r>
            <w:r>
              <w:rPr>
                <w:rFonts w:hint="eastAsia" w:ascii="宋体" w:hAnsi="宋体"/>
                <w:szCs w:val="21"/>
              </w:rPr>
              <w:t>15分）</w:t>
            </w:r>
          </w:p>
        </w:tc>
        <w:tc>
          <w:tcPr>
            <w:tcW w:w="1418" w:type="dxa"/>
            <w:vMerge w:val="restart"/>
            <w:vAlign w:val="center"/>
          </w:tcPr>
          <w:p>
            <w:pPr>
              <w:jc w:val="left"/>
              <w:rPr>
                <w:rFonts w:ascii="宋体" w:hAnsi="宋体"/>
                <w:szCs w:val="21"/>
              </w:rPr>
            </w:pPr>
            <w:r>
              <w:rPr>
                <w:rFonts w:hint="eastAsia" w:ascii="宋体" w:hAnsi="宋体"/>
                <w:szCs w:val="21"/>
              </w:rPr>
              <w:t>计算公式为：价格评分＝（评标基准价格/评标价格）×30</w:t>
            </w:r>
          </w:p>
        </w:tc>
        <w:tc>
          <w:tcPr>
            <w:tcW w:w="992"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pPr>
              <w:rPr>
                <w:rFonts w:ascii="宋体" w:hAnsi="宋体"/>
                <w:szCs w:val="21"/>
              </w:rPr>
            </w:pPr>
          </w:p>
        </w:tc>
        <w:tc>
          <w:tcPr>
            <w:tcW w:w="1985" w:type="dxa"/>
            <w:vMerge w:val="continue"/>
          </w:tcPr>
          <w:p>
            <w:pPr>
              <w:rPr>
                <w:rFonts w:ascii="宋体" w:hAnsi="宋体"/>
                <w:szCs w:val="21"/>
              </w:rPr>
            </w:pPr>
          </w:p>
        </w:tc>
        <w:tc>
          <w:tcPr>
            <w:tcW w:w="1559" w:type="dxa"/>
            <w:vAlign w:val="center"/>
          </w:tcPr>
          <w:p>
            <w:pPr>
              <w:jc w:val="left"/>
              <w:rPr>
                <w:rFonts w:ascii="宋体" w:hAnsi="宋体"/>
                <w:szCs w:val="21"/>
              </w:rPr>
            </w:pPr>
            <w:r>
              <w:rPr>
                <w:rFonts w:hint="eastAsia" w:ascii="宋体" w:hAnsi="宋体"/>
                <w:szCs w:val="21"/>
              </w:rPr>
              <w:t>竞标单位资质齐全，信誉度良好。</w:t>
            </w:r>
          </w:p>
        </w:tc>
        <w:tc>
          <w:tcPr>
            <w:tcW w:w="2126" w:type="dxa"/>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2019年以来的同类项目业绩,每份2分，最高得10分。提供不完整或者未按要求提供的不得分。</w:t>
            </w:r>
          </w:p>
        </w:tc>
        <w:tc>
          <w:tcPr>
            <w:tcW w:w="1985" w:type="dxa"/>
            <w:vAlign w:val="center"/>
          </w:tcPr>
          <w:p>
            <w:pPr>
              <w:jc w:val="center"/>
              <w:rPr>
                <w:rFonts w:ascii="宋体" w:hAnsi="宋体"/>
                <w:szCs w:val="21"/>
              </w:rPr>
            </w:pPr>
            <w:r>
              <w:rPr>
                <w:rFonts w:hint="eastAsia" w:ascii="宋体" w:hAnsi="宋体" w:cs="宋体"/>
                <w:kern w:val="0"/>
                <w:szCs w:val="21"/>
              </w:rPr>
              <w:t>考查、对比</w:t>
            </w:r>
            <w:r>
              <w:rPr>
                <w:rFonts w:hint="eastAsia" w:ascii="宋体" w:hAnsi="宋体"/>
                <w:szCs w:val="21"/>
              </w:rPr>
              <w:t>项目团队的</w:t>
            </w:r>
            <w:r>
              <w:rPr>
                <w:rFonts w:hint="eastAsia" w:ascii="宋体" w:hAnsi="宋体" w:cs="宋体"/>
              </w:rPr>
              <w:t>专业、工作经验，</w:t>
            </w:r>
            <w:r>
              <w:rPr>
                <w:rFonts w:hint="eastAsia" w:ascii="宋体" w:hAnsi="宋体"/>
                <w:szCs w:val="21"/>
              </w:rPr>
              <w:t>人员资质是否齐全（</w:t>
            </w:r>
            <w:r>
              <w:rPr>
                <w:rFonts w:hint="eastAsia" w:ascii="宋体" w:hAnsi="宋体"/>
              </w:rPr>
              <w:t>如资格证书、技术证书等</w:t>
            </w:r>
            <w:r>
              <w:rPr>
                <w:rFonts w:hint="eastAsia" w:ascii="宋体" w:hAnsi="宋体"/>
                <w:szCs w:val="21"/>
              </w:rPr>
              <w:t>）。</w:t>
            </w:r>
          </w:p>
        </w:tc>
        <w:tc>
          <w:tcPr>
            <w:tcW w:w="2126" w:type="dxa"/>
            <w:vAlign w:val="center"/>
          </w:tcPr>
          <w:p>
            <w:pPr>
              <w:rPr>
                <w:rFonts w:ascii="宋体" w:hAnsi="宋体"/>
                <w:szCs w:val="21"/>
              </w:rPr>
            </w:pPr>
            <w:r>
              <w:rPr>
                <w:rFonts w:hint="eastAsia" w:ascii="宋体" w:hAnsi="宋体" w:cs="宋体"/>
                <w:kern w:val="0"/>
                <w:szCs w:val="21"/>
              </w:rPr>
              <w:t>考查、对比</w:t>
            </w:r>
            <w:r>
              <w:rPr>
                <w:rFonts w:hint="eastAsia" w:ascii="宋体" w:hAnsi="宋体"/>
              </w:rPr>
              <w:t>方案合理性、科学性，内容是否详细完整。</w:t>
            </w:r>
          </w:p>
        </w:tc>
        <w:tc>
          <w:tcPr>
            <w:tcW w:w="2126" w:type="dxa"/>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考查、对比服务计划是否详细、合理，是否能够承诺针对本项目提供及时、优质、专业的服务要求</w:t>
            </w:r>
            <w:r>
              <w:rPr>
                <w:rFonts w:hint="eastAsia" w:ascii="宋体" w:hAnsi="宋体"/>
                <w:szCs w:val="21"/>
              </w:rPr>
              <w:t>。</w:t>
            </w:r>
          </w:p>
        </w:tc>
        <w:tc>
          <w:tcPr>
            <w:tcW w:w="1418" w:type="dxa"/>
            <w:vMerge w:val="continue"/>
          </w:tcPr>
          <w:p>
            <w:pPr>
              <w:rPr>
                <w:rFonts w:ascii="宋体" w:hAnsi="宋体"/>
                <w:szCs w:val="21"/>
              </w:rPr>
            </w:pPr>
          </w:p>
        </w:tc>
        <w:tc>
          <w:tcPr>
            <w:tcW w:w="992"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675" w:type="dxa"/>
            <w:vAlign w:val="center"/>
          </w:tcPr>
          <w:p>
            <w:pPr>
              <w:jc w:val="center"/>
              <w:rPr>
                <w:szCs w:val="21"/>
              </w:rPr>
            </w:pPr>
            <w:r>
              <w:rPr>
                <w:rFonts w:hint="eastAsia"/>
                <w:szCs w:val="21"/>
              </w:rPr>
              <w:t>1</w:t>
            </w:r>
          </w:p>
        </w:tc>
        <w:tc>
          <w:tcPr>
            <w:tcW w:w="1985" w:type="dxa"/>
            <w:vAlign w:val="center"/>
          </w:tcPr>
          <w:p>
            <w:pPr>
              <w:jc w:val="center"/>
              <w:rPr>
                <w:rFonts w:ascii="宋体" w:hAnsi="宋体"/>
                <w:sz w:val="18"/>
                <w:szCs w:val="18"/>
              </w:rPr>
            </w:pPr>
          </w:p>
        </w:tc>
        <w:tc>
          <w:tcPr>
            <w:tcW w:w="1559" w:type="dxa"/>
            <w:vAlign w:val="center"/>
          </w:tcPr>
          <w:p>
            <w:pPr>
              <w:jc w:val="center"/>
              <w:rPr>
                <w:sz w:val="24"/>
              </w:rPr>
            </w:pPr>
          </w:p>
        </w:tc>
        <w:tc>
          <w:tcPr>
            <w:tcW w:w="2126" w:type="dxa"/>
            <w:vAlign w:val="center"/>
          </w:tcPr>
          <w:p>
            <w:pPr>
              <w:jc w:val="center"/>
              <w:rPr>
                <w:sz w:val="24"/>
              </w:rPr>
            </w:pPr>
          </w:p>
        </w:tc>
        <w:tc>
          <w:tcPr>
            <w:tcW w:w="1985" w:type="dxa"/>
            <w:vAlign w:val="center"/>
          </w:tcPr>
          <w:p>
            <w:pPr>
              <w:jc w:val="center"/>
              <w:rPr>
                <w:sz w:val="24"/>
              </w:rPr>
            </w:pPr>
          </w:p>
        </w:tc>
        <w:tc>
          <w:tcPr>
            <w:tcW w:w="2126" w:type="dxa"/>
            <w:vAlign w:val="center"/>
          </w:tcPr>
          <w:p>
            <w:pPr>
              <w:jc w:val="center"/>
              <w:rPr>
                <w:sz w:val="24"/>
              </w:rPr>
            </w:pPr>
          </w:p>
        </w:tc>
        <w:tc>
          <w:tcPr>
            <w:tcW w:w="2126" w:type="dxa"/>
            <w:vAlign w:val="center"/>
          </w:tcPr>
          <w:p>
            <w:pPr>
              <w:jc w:val="center"/>
              <w:rPr>
                <w:sz w:val="24"/>
              </w:rPr>
            </w:pPr>
          </w:p>
        </w:tc>
        <w:tc>
          <w:tcPr>
            <w:tcW w:w="1418" w:type="dxa"/>
            <w:vAlign w:val="center"/>
          </w:tcPr>
          <w:p>
            <w:pPr>
              <w:jc w:val="center"/>
              <w:rPr>
                <w:sz w:val="24"/>
              </w:rPr>
            </w:pPr>
          </w:p>
        </w:tc>
        <w:tc>
          <w:tcPr>
            <w:tcW w:w="99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675" w:type="dxa"/>
            <w:vAlign w:val="center"/>
          </w:tcPr>
          <w:p>
            <w:pPr>
              <w:jc w:val="center"/>
              <w:rPr>
                <w:szCs w:val="21"/>
              </w:rPr>
            </w:pPr>
            <w:r>
              <w:rPr>
                <w:rFonts w:hint="eastAsia"/>
                <w:szCs w:val="21"/>
              </w:rPr>
              <w:t>2</w:t>
            </w:r>
          </w:p>
        </w:tc>
        <w:tc>
          <w:tcPr>
            <w:tcW w:w="1985" w:type="dxa"/>
            <w:vAlign w:val="center"/>
          </w:tcPr>
          <w:p>
            <w:pPr>
              <w:jc w:val="center"/>
              <w:rPr>
                <w:sz w:val="18"/>
                <w:szCs w:val="18"/>
              </w:rPr>
            </w:pPr>
          </w:p>
        </w:tc>
        <w:tc>
          <w:tcPr>
            <w:tcW w:w="1559" w:type="dxa"/>
            <w:vAlign w:val="center"/>
          </w:tcPr>
          <w:p>
            <w:pPr>
              <w:jc w:val="center"/>
              <w:rPr>
                <w:sz w:val="24"/>
              </w:rPr>
            </w:pPr>
          </w:p>
        </w:tc>
        <w:tc>
          <w:tcPr>
            <w:tcW w:w="2126" w:type="dxa"/>
            <w:vAlign w:val="center"/>
          </w:tcPr>
          <w:p>
            <w:pPr>
              <w:jc w:val="center"/>
              <w:rPr>
                <w:rFonts w:ascii="宋体" w:hAnsi="宋体"/>
                <w:szCs w:val="21"/>
              </w:rPr>
            </w:pPr>
          </w:p>
        </w:tc>
        <w:tc>
          <w:tcPr>
            <w:tcW w:w="1985" w:type="dxa"/>
            <w:vAlign w:val="center"/>
          </w:tcPr>
          <w:p>
            <w:pPr>
              <w:jc w:val="center"/>
              <w:rPr>
                <w:sz w:val="24"/>
              </w:rPr>
            </w:pPr>
          </w:p>
        </w:tc>
        <w:tc>
          <w:tcPr>
            <w:tcW w:w="2126" w:type="dxa"/>
            <w:vAlign w:val="center"/>
          </w:tcPr>
          <w:p>
            <w:pPr>
              <w:jc w:val="center"/>
              <w:rPr>
                <w:sz w:val="24"/>
              </w:rPr>
            </w:pPr>
          </w:p>
        </w:tc>
        <w:tc>
          <w:tcPr>
            <w:tcW w:w="2126" w:type="dxa"/>
            <w:vAlign w:val="center"/>
          </w:tcPr>
          <w:p>
            <w:pPr>
              <w:jc w:val="center"/>
              <w:rPr>
                <w:sz w:val="24"/>
              </w:rPr>
            </w:pPr>
          </w:p>
        </w:tc>
        <w:tc>
          <w:tcPr>
            <w:tcW w:w="1418" w:type="dxa"/>
            <w:vAlign w:val="center"/>
          </w:tcPr>
          <w:p>
            <w:pPr>
              <w:jc w:val="center"/>
              <w:rPr>
                <w:sz w:val="24"/>
              </w:rPr>
            </w:pPr>
          </w:p>
        </w:tc>
        <w:tc>
          <w:tcPr>
            <w:tcW w:w="99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675" w:type="dxa"/>
            <w:vAlign w:val="center"/>
          </w:tcPr>
          <w:p>
            <w:pPr>
              <w:jc w:val="center"/>
              <w:rPr>
                <w:szCs w:val="21"/>
              </w:rPr>
            </w:pPr>
            <w:r>
              <w:rPr>
                <w:rFonts w:hint="eastAsia"/>
                <w:szCs w:val="21"/>
              </w:rPr>
              <w:t>3</w:t>
            </w:r>
          </w:p>
        </w:tc>
        <w:tc>
          <w:tcPr>
            <w:tcW w:w="1985" w:type="dxa"/>
            <w:vAlign w:val="center"/>
          </w:tcPr>
          <w:p>
            <w:pPr>
              <w:jc w:val="center"/>
              <w:rPr>
                <w:sz w:val="18"/>
                <w:szCs w:val="18"/>
              </w:rPr>
            </w:pPr>
          </w:p>
        </w:tc>
        <w:tc>
          <w:tcPr>
            <w:tcW w:w="1559" w:type="dxa"/>
            <w:vAlign w:val="center"/>
          </w:tcPr>
          <w:p>
            <w:pPr>
              <w:jc w:val="center"/>
              <w:rPr>
                <w:sz w:val="24"/>
              </w:rPr>
            </w:pPr>
          </w:p>
        </w:tc>
        <w:tc>
          <w:tcPr>
            <w:tcW w:w="2126" w:type="dxa"/>
            <w:vAlign w:val="center"/>
          </w:tcPr>
          <w:p>
            <w:pPr>
              <w:autoSpaceDE w:val="0"/>
              <w:autoSpaceDN w:val="0"/>
              <w:adjustRightInd w:val="0"/>
              <w:jc w:val="center"/>
              <w:rPr>
                <w:rFonts w:ascii="宋体" w:hAnsi="宋体" w:cs="宋体"/>
                <w:kern w:val="0"/>
                <w:szCs w:val="21"/>
              </w:rPr>
            </w:pPr>
          </w:p>
        </w:tc>
        <w:tc>
          <w:tcPr>
            <w:tcW w:w="1985" w:type="dxa"/>
            <w:vAlign w:val="center"/>
          </w:tcPr>
          <w:p>
            <w:pPr>
              <w:jc w:val="center"/>
              <w:rPr>
                <w:sz w:val="24"/>
              </w:rPr>
            </w:pPr>
          </w:p>
        </w:tc>
        <w:tc>
          <w:tcPr>
            <w:tcW w:w="2126" w:type="dxa"/>
            <w:vAlign w:val="center"/>
          </w:tcPr>
          <w:p>
            <w:pPr>
              <w:jc w:val="center"/>
              <w:rPr>
                <w:sz w:val="24"/>
              </w:rPr>
            </w:pPr>
          </w:p>
        </w:tc>
        <w:tc>
          <w:tcPr>
            <w:tcW w:w="2126" w:type="dxa"/>
            <w:vAlign w:val="center"/>
          </w:tcPr>
          <w:p>
            <w:pPr>
              <w:jc w:val="center"/>
              <w:rPr>
                <w:sz w:val="24"/>
              </w:rPr>
            </w:pPr>
          </w:p>
        </w:tc>
        <w:tc>
          <w:tcPr>
            <w:tcW w:w="1418" w:type="dxa"/>
            <w:vAlign w:val="center"/>
          </w:tcPr>
          <w:p>
            <w:pPr>
              <w:jc w:val="center"/>
              <w:rPr>
                <w:sz w:val="24"/>
              </w:rPr>
            </w:pPr>
          </w:p>
        </w:tc>
        <w:tc>
          <w:tcPr>
            <w:tcW w:w="992" w:type="dxa"/>
            <w:vAlign w:val="center"/>
          </w:tcPr>
          <w:p>
            <w:pPr>
              <w:jc w:val="center"/>
              <w:rPr>
                <w:sz w:val="24"/>
              </w:rPr>
            </w:pPr>
          </w:p>
        </w:tc>
      </w:tr>
    </w:tbl>
    <w:p>
      <w:r>
        <w:rPr>
          <w:rFonts w:hint="eastAsia"/>
        </w:rPr>
        <w:t>注：1、取各评标价格下浮率最大的为评标基准价格，评标价格为各供应商报的下浮率（小数点后保留两位有效数）。</w:t>
      </w:r>
    </w:p>
    <w:p>
      <w:pPr>
        <w:ind w:firstLine="420" w:firstLineChars="200"/>
      </w:pPr>
      <w:r>
        <w:rPr>
          <w:rFonts w:hint="eastAsia"/>
        </w:rPr>
        <w:t>2、所有评委评分分值的算术平均值为四舍五入后小数点后保留两位有效数。</w:t>
      </w:r>
    </w:p>
    <w:p>
      <w:pPr>
        <w:ind w:firstLine="9135" w:firstLineChars="4350"/>
        <w:rPr>
          <w:rFonts w:hint="eastAsia"/>
        </w:rPr>
      </w:pPr>
    </w:p>
    <w:p>
      <w:pPr>
        <w:ind w:firstLine="10440" w:firstLineChars="4350"/>
        <w:rPr>
          <w:sz w:val="24"/>
        </w:rPr>
      </w:pPr>
      <w:r>
        <w:rPr>
          <w:rFonts w:hint="eastAsia"/>
          <w:sz w:val="24"/>
        </w:rPr>
        <w:t>专家签名：</w:t>
      </w:r>
    </w:p>
    <w:p/>
    <w:sectPr>
      <w:pgSz w:w="16838" w:h="11906" w:orient="landscape"/>
      <w:pgMar w:top="1418" w:right="1440" w:bottom="1304"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3F1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2022-02-14T01:47:17Z</dcterms:created>
  <dc:creator>Administrator</dc:creator>
  <cp:lastModifiedBy>Administrator</cp:lastModifiedBy>
  <dcterms:modified xsi:type="dcterms:W3CDTF">2022-02-14T01:47:28Z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