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97" w:rsidRDefault="00F05097" w:rsidP="00F05097">
      <w:pPr>
        <w:spacing w:line="360" w:lineRule="auto"/>
        <w:rPr>
          <w:b/>
          <w:szCs w:val="21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：</w:t>
      </w:r>
    </w:p>
    <w:p w:rsidR="00F05097" w:rsidRDefault="00F05097" w:rsidP="00F05097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基础报价表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21"/>
        <w:gridCol w:w="4764"/>
        <w:gridCol w:w="1243"/>
        <w:gridCol w:w="866"/>
      </w:tblGrid>
      <w:tr w:rsidR="00F05097" w:rsidTr="006E6859">
        <w:trPr>
          <w:trHeight w:val="579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  <w:lang w:val="zh-TW"/>
              </w:rPr>
              <w:t>内容</w:t>
            </w:r>
            <w:r>
              <w:rPr>
                <w:rFonts w:ascii="宋体" w:hAnsi="宋体" w:hint="eastAsia"/>
                <w:b/>
                <w:kern w:val="0"/>
                <w:szCs w:val="21"/>
                <w:lang w:val="zh-TW" w:eastAsia="zh-TW"/>
              </w:rPr>
              <w:t>及要求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报价金额（元）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运营</w:t>
            </w:r>
          </w:p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及内容策划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服务内容：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指定专职人员负责公众</w:t>
            </w:r>
            <w:proofErr w:type="gramStart"/>
            <w:r>
              <w:rPr>
                <w:rFonts w:ascii="宋体" w:hAnsi="宋体" w:hint="eastAsia"/>
                <w:szCs w:val="21"/>
              </w:rPr>
              <w:t>号内容</w:t>
            </w:r>
            <w:proofErr w:type="gramEnd"/>
            <w:r>
              <w:rPr>
                <w:rFonts w:ascii="宋体" w:hAnsi="宋体" w:hint="eastAsia"/>
                <w:szCs w:val="21"/>
              </w:rPr>
              <w:t>策划及编辑工作，主动做好策划选题、精心编辑、及时推送。推送频率为每日1次，每次推送1-3条信息。</w:t>
            </w:r>
            <w:proofErr w:type="gramStart"/>
            <w:r>
              <w:rPr>
                <w:rFonts w:ascii="宋体" w:hAnsi="宋体" w:hint="eastAsia"/>
                <w:szCs w:val="21"/>
              </w:rPr>
              <w:t>逢主要</w:t>
            </w:r>
            <w:proofErr w:type="gramEnd"/>
            <w:r>
              <w:rPr>
                <w:rFonts w:ascii="宋体" w:hAnsi="宋体" w:hint="eastAsia"/>
                <w:szCs w:val="21"/>
              </w:rPr>
              <w:t>卫生宣传日及重要时间节点，需配合策划专题推送，落实具体推送任务。推送内容包括原创稿和转载稿，转载内容需在采购人指定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范围内选</w:t>
            </w:r>
            <w:r>
              <w:rPr>
                <w:rFonts w:ascii="宋体" w:hAnsi="宋体"/>
                <w:szCs w:val="21"/>
              </w:rPr>
              <w:t>取</w:t>
            </w:r>
            <w:r>
              <w:rPr>
                <w:rFonts w:ascii="宋体" w:hAnsi="宋体" w:hint="eastAsia"/>
                <w:szCs w:val="21"/>
              </w:rPr>
              <w:t>。所有内容须经审核后才能发布。如遇重大事件增加推送次数，</w:t>
            </w:r>
            <w:r>
              <w:rPr>
                <w:rFonts w:ascii="宋体" w:hAnsi="宋体"/>
                <w:szCs w:val="21"/>
              </w:rPr>
              <w:t>需积极配合，不再追加款项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服务要求：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1.须配备两名或以上符合要求的人员专职对接项目（该类人员须与参选时报送材料中服务团队的成员一致）须满足突发事件的快速响应及工作的即时开展。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2.建立完善的三审三</w:t>
            </w:r>
            <w:proofErr w:type="gramStart"/>
            <w:r>
              <w:rPr>
                <w:rFonts w:ascii="宋体" w:hAnsi="宋体" w:hint="eastAsia"/>
                <w:szCs w:val="21"/>
              </w:rPr>
              <w:t>校信息</w:t>
            </w:r>
            <w:proofErr w:type="gramEnd"/>
            <w:r>
              <w:rPr>
                <w:rFonts w:ascii="宋体" w:hAnsi="宋体" w:hint="eastAsia"/>
                <w:szCs w:val="21"/>
              </w:rPr>
              <w:t>发布审核制度。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3.原则上要求小编24小时值班，需在收到紧急事项处理通知后半小时内回应，1小时内完成任务；</w:t>
            </w:r>
            <w:proofErr w:type="gramStart"/>
            <w:r>
              <w:rPr>
                <w:rFonts w:ascii="宋体" w:hAnsi="宋体" w:hint="eastAsia"/>
                <w:szCs w:val="21"/>
              </w:rPr>
              <w:t>日常推文制作</w:t>
            </w:r>
            <w:proofErr w:type="gramEnd"/>
            <w:r>
              <w:rPr>
                <w:rFonts w:ascii="宋体" w:hAnsi="宋体" w:hint="eastAsia"/>
                <w:szCs w:val="21"/>
              </w:rPr>
              <w:t>时间不超过3小时。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4.按要求制作含有版权的原创封面图等图片。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5.前文提及的专职人员每月20日前报送推送计划并参与现场工作会议，商讨多媒体产品制作方案及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运营的专题策划和推送计划。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6.每月出具运营数据报告，提交年度总结报告。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7.服务期内实现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平均每篇阅读数对比2023年达10%以上增长。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短视频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ind w:firstLine="402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服务内容：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合作期间，制作短视频2个。4K高清摄制、1分钟以内，包括视频的创意方案、摄制编辑、配音配乐、演员聘请、字幕制作等专业团队后期制作，创作兼顾权威性、科普性及趣味性，做到通俗易懂。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服务要求：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合同签订后，3个月内完成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个短视频，12个月内完成全部多媒体作品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产品从收到文案类10个工作日出分镜初稿，初稿响应时间不超过20个工作日完成，作品须经甲方评估小组验收后方可完成。视频适配横版（16:9）和竖版（9:16）2种规格的版本，能适应电视台播出、户外显示屏显示、以及网络端、客户手机端播放的各种需求。</w:t>
            </w:r>
            <w:r>
              <w:rPr>
                <w:rFonts w:ascii="宋体" w:hAnsi="宋体"/>
                <w:kern w:val="0"/>
                <w:szCs w:val="21"/>
              </w:rPr>
              <w:t>注：该项报价需分别列出单价与总价。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numPr>
                <w:ilvl w:val="255"/>
                <w:numId w:val="0"/>
              </w:num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3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手绘漫画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ind w:firstLine="402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服务内容：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合作期间，制作手绘漫画作品1个。表现形式为长图漫画，包括但不限于剧本策划、分镜草图、人物塑造、描线上色和排版出图等全套制作。创作兼顾权威性、科普性及趣味性，画面完整、满幅、清晰。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服务要求：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合同签订后，12个月内完成全部多媒体作品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产品从收到文案类10个工作日出分镜初稿，初稿响应时间不超过20个工作日完成，作品须经甲方评估小组验收后方可完成。作品规格尺寸为A4画幅，JPG或PNG格式，分辨率不低于300DPI，漫画宽度不小于1080px，每期不少于15幅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numPr>
                <w:ilvl w:val="255"/>
                <w:numId w:val="0"/>
              </w:num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手绘MG动画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ind w:firstLine="402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服务内容：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合作期间，制作手绘MG动画作品2个，4K高清摄制，3分钟以内。包括文案策划、配音配乐、字幕制作等专业团队后期制作。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 w:rsidRPr="0092416C">
              <w:rPr>
                <w:rFonts w:asciiTheme="minorEastAsia" w:hAnsiTheme="minorEastAsia" w:hint="eastAsia"/>
                <w:b/>
                <w:bCs/>
                <w:kern w:val="0"/>
                <w:sz w:val="20"/>
                <w:szCs w:val="20"/>
              </w:rPr>
              <w:t>服务要求：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合同签订后，3个月内完成1个MG动画，12个月内完成全部多媒体作品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产品从收到文案类10个工作日出分镜初稿，初稿响应时间不超过20个工作日完成，作品须经甲方评估小组验收后方可完成。横版规格（16:9），视频格式为H.264（或其他通用格式，如.MP4），视频分辨率为3840*2160（4K）；产品画面设计及内容创作结合江门地方特色进行创作，须有背景添加江门地标建筑、对白含有本土特有事物内容等元素；文本创作兼顾权威性、科普性及趣味性，做到通俗易懂，寓教于乐。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注：该项报价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需分别列出单价与总价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numPr>
                <w:ilvl w:val="255"/>
                <w:numId w:val="0"/>
              </w:num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699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健康教育活动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联合大型单位举办线上和线下结合的健康教育活动，举办形式包括并不限于视频直播等，在江门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疾控微信公众号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和本广东省主要媒体平台等不同渠道进行推广，提升公众号在江门地区的知名度和关注量。</w:t>
            </w:r>
          </w:p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服务要求：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举办不少于1次活动，联合单位规模为200人以上，在线参与人数5万人次以上。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重点平台推广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采购人有新闻价值的重大活动、重要信息给予推广支持，向国家各级宣传部主管的新媒体平台和市级以上新闻媒体平台推广，如学习强国客户端、人民日报客户端、南方+客户端、江门发布、江门日报、江门广播电视台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等媒体。</w:t>
            </w:r>
          </w:p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服务要求：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合作期间，不少于5条重要信息被省级以上新闻媒体平台采用。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版面维护与安全管理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包括但不限于公众号版面设计和排版、自定义菜单搭建、公众号合集配置、整理号内搜索推荐词、问卷设计、投票管理、解答粉丝后台留言等。</w:t>
            </w:r>
          </w:p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服务要求：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设定</w:t>
            </w:r>
            <w:r>
              <w:rPr>
                <w:rFonts w:ascii="宋体" w:hAnsi="宋体"/>
                <w:szCs w:val="21"/>
              </w:rPr>
              <w:t>责任编审人</w:t>
            </w:r>
            <w:r>
              <w:rPr>
                <w:rFonts w:ascii="宋体" w:hAnsi="宋体" w:hint="eastAsia"/>
                <w:szCs w:val="21"/>
              </w:rPr>
              <w:t>；开展定期维护，开展常态化风险评估和安全检查，确保平台信息安全、去插件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及时</w:t>
            </w:r>
            <w:r>
              <w:rPr>
                <w:rFonts w:ascii="宋体" w:hAnsi="宋体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>舆情</w:t>
            </w:r>
            <w:r>
              <w:rPr>
                <w:rFonts w:ascii="宋体" w:hAnsi="宋体"/>
                <w:szCs w:val="21"/>
              </w:rPr>
              <w:t>信</w:t>
            </w:r>
            <w:r>
              <w:rPr>
                <w:rFonts w:ascii="宋体" w:hAnsi="宋体" w:hint="eastAsia"/>
                <w:szCs w:val="21"/>
              </w:rPr>
              <w:t>息</w:t>
            </w:r>
            <w:proofErr w:type="gramStart"/>
            <w:r>
              <w:rPr>
                <w:rFonts w:ascii="宋体" w:hAnsi="宋体"/>
                <w:szCs w:val="21"/>
              </w:rPr>
              <w:t>作出</w:t>
            </w:r>
            <w:proofErr w:type="gramEnd"/>
            <w:r>
              <w:rPr>
                <w:rFonts w:ascii="宋体" w:hAnsi="宋体"/>
                <w:szCs w:val="21"/>
              </w:rPr>
              <w:t>反应，积极与</w:t>
            </w:r>
            <w:r>
              <w:rPr>
                <w:rFonts w:ascii="宋体" w:hAnsi="宋体" w:hint="eastAsia"/>
                <w:szCs w:val="21"/>
              </w:rPr>
              <w:t>江门市疾病预防控制中心</w:t>
            </w:r>
            <w:r>
              <w:rPr>
                <w:rFonts w:ascii="宋体" w:hAnsi="宋体"/>
                <w:szCs w:val="21"/>
              </w:rPr>
              <w:t>进行沟通协调；</w:t>
            </w:r>
            <w:r>
              <w:rPr>
                <w:rFonts w:ascii="宋体" w:hAnsi="宋体" w:hint="eastAsia"/>
                <w:szCs w:val="21"/>
              </w:rPr>
              <w:t>对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日常的粉丝留言进行监控，及时反馈和按要求处置相关信息，及时</w:t>
            </w:r>
            <w:r>
              <w:rPr>
                <w:rFonts w:ascii="宋体" w:hAnsi="宋体"/>
                <w:szCs w:val="21"/>
              </w:rPr>
              <w:t>对上述留言进行分析，并合理评估对</w:t>
            </w:r>
            <w:r>
              <w:rPr>
                <w:rFonts w:ascii="宋体" w:hAnsi="宋体" w:hint="eastAsia"/>
                <w:szCs w:val="21"/>
              </w:rPr>
              <w:t>舆情</w:t>
            </w:r>
            <w:r>
              <w:rPr>
                <w:rFonts w:ascii="宋体" w:hAnsi="宋体"/>
                <w:szCs w:val="21"/>
              </w:rPr>
              <w:t>的影响，提供回复建议，经采购单位同意后及时回复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错敏信息</w:t>
            </w:r>
            <w:proofErr w:type="gramEnd"/>
            <w:r>
              <w:rPr>
                <w:rFonts w:ascii="宋体" w:hAnsi="宋体" w:hint="eastAsia"/>
                <w:szCs w:val="21"/>
              </w:rPr>
              <w:t>监测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通过软件智能校对，对</w:t>
            </w:r>
            <w:proofErr w:type="gramStart"/>
            <w:r>
              <w:rPr>
                <w:rFonts w:ascii="宋体" w:hAnsi="宋体" w:hint="eastAsia"/>
                <w:szCs w:val="21"/>
              </w:rPr>
              <w:t>微信公众号</w:t>
            </w:r>
            <w:proofErr w:type="gramEnd"/>
            <w:r>
              <w:rPr>
                <w:rFonts w:ascii="宋体" w:hAnsi="宋体" w:hint="eastAsia"/>
                <w:szCs w:val="21"/>
              </w:rPr>
              <w:t>后台文字、标点及知识性差错等进行校对，实现错别字、错误表述和敏感词等主动发现与纠正处理。</w:t>
            </w:r>
          </w:p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服务要求：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对服务期内发布的全部内容负责，需提供</w:t>
            </w:r>
            <w:proofErr w:type="gramStart"/>
            <w:r>
              <w:rPr>
                <w:rFonts w:ascii="宋体" w:hAnsi="宋体" w:hint="eastAsia"/>
                <w:szCs w:val="21"/>
              </w:rPr>
              <w:t>错敏信息</w:t>
            </w:r>
            <w:proofErr w:type="gramEnd"/>
            <w:r>
              <w:rPr>
                <w:rFonts w:ascii="宋体" w:hAnsi="宋体" w:hint="eastAsia"/>
                <w:szCs w:val="21"/>
              </w:rPr>
              <w:t>监测软件相关信息给采购方。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1011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F05097" w:rsidRDefault="00F05097" w:rsidP="006E685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满意度调查</w:t>
            </w:r>
          </w:p>
        </w:tc>
        <w:tc>
          <w:tcPr>
            <w:tcW w:w="2795" w:type="pct"/>
            <w:shd w:val="clear" w:color="auto" w:fill="auto"/>
            <w:vAlign w:val="center"/>
          </w:tcPr>
          <w:p w:rsidR="00F05097" w:rsidRPr="0092416C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服务内容：</w:t>
            </w:r>
          </w:p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完成一次群众对公众号（内容、版面和其他方面）满意度调查问卷，形成分析报告。</w:t>
            </w:r>
          </w:p>
          <w:p w:rsidR="00F05097" w:rsidRPr="0092416C" w:rsidRDefault="00F05097" w:rsidP="006E6859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2416C">
              <w:rPr>
                <w:rFonts w:ascii="宋体" w:hAnsi="宋体" w:hint="eastAsia"/>
                <w:b/>
                <w:bCs/>
                <w:kern w:val="0"/>
                <w:szCs w:val="21"/>
              </w:rPr>
              <w:t>服务要求：</w:t>
            </w:r>
          </w:p>
          <w:p w:rsidR="00F05097" w:rsidRDefault="00F05097" w:rsidP="006E6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对服务期内发布的全部内容通过问卷形式，在线上进行，调查人数为1000人。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F05097" w:rsidTr="006E6859">
        <w:trPr>
          <w:trHeight w:val="54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05097" w:rsidRDefault="00F05097" w:rsidP="006E685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合计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（每项报价之和）=人民币</w:t>
            </w:r>
            <w:r>
              <w:rPr>
                <w:rFonts w:ascii="宋体" w:hAnsi="宋体" w:hint="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元</w:t>
            </w:r>
          </w:p>
        </w:tc>
      </w:tr>
    </w:tbl>
    <w:p w:rsidR="00F05097" w:rsidRDefault="00F05097" w:rsidP="00F0509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供应商必须按报价表的格式</w:t>
      </w:r>
      <w:r>
        <w:rPr>
          <w:sz w:val="24"/>
        </w:rPr>
        <w:t>，对</w:t>
      </w:r>
      <w:proofErr w:type="gramStart"/>
      <w:r>
        <w:rPr>
          <w:sz w:val="24"/>
        </w:rPr>
        <w:t>每项目</w:t>
      </w:r>
      <w:proofErr w:type="gramEnd"/>
      <w:r>
        <w:rPr>
          <w:sz w:val="24"/>
        </w:rPr>
        <w:t>分别</w:t>
      </w:r>
      <w:r>
        <w:rPr>
          <w:rFonts w:hint="eastAsia"/>
          <w:sz w:val="24"/>
        </w:rPr>
        <w:t>填写，不得增加或删除表格内容。除单价、金额或项目要求填写的内容外，不得擅自改动报价表内容，否则将有可能影响成交结果，不推荐为成交候选人；</w:t>
      </w: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所有价格均系用人民币表示，单位为元，均为含税价；</w:t>
      </w: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报价表</w:t>
      </w:r>
      <w:r>
        <w:rPr>
          <w:sz w:val="24"/>
        </w:rPr>
        <w:t>各项目报价小计汇总后等于总结合计，且</w:t>
      </w:r>
      <w:r>
        <w:rPr>
          <w:rFonts w:hint="eastAsia"/>
          <w:sz w:val="24"/>
        </w:rPr>
        <w:t>须加盖单位公章，否则视为无效报价。</w:t>
      </w: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供应商名称（单位盖公章）：</w:t>
      </w:r>
    </w:p>
    <w:p w:rsidR="00F05097" w:rsidRDefault="00F05097" w:rsidP="00F05097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日期：</w:t>
      </w:r>
    </w:p>
    <w:p w:rsidR="00D512A0" w:rsidRDefault="00D512A0">
      <w:bookmarkStart w:id="0" w:name="_GoBack"/>
      <w:bookmarkEnd w:id="0"/>
    </w:p>
    <w:sectPr w:rsidR="00D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B"/>
    <w:multiLevelType w:val="multilevel"/>
    <w:tmpl w:val="0000001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8676F"/>
    <w:multiLevelType w:val="singleLevel"/>
    <w:tmpl w:val="647867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5"/>
    <w:rsid w:val="00BF3BA5"/>
    <w:rsid w:val="00D512A0"/>
    <w:rsid w:val="00F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黄进宝</cp:lastModifiedBy>
  <cp:revision>2</cp:revision>
  <dcterms:created xsi:type="dcterms:W3CDTF">2024-06-24T02:55:00Z</dcterms:created>
  <dcterms:modified xsi:type="dcterms:W3CDTF">2024-06-24T02:55:00Z</dcterms:modified>
</cp:coreProperties>
</file>